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0F6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Segoe UI" w:hAnsi="Segoe UI" w:eastAsia="Segoe UI" w:cs="Segoe UI"/>
          <w:b w:val="0"/>
          <w:bCs w:val="0"/>
          <w:i w:val="0"/>
          <w:iCs w:val="0"/>
          <w:caps w:val="0"/>
          <w:color w:val="2E62C2"/>
          <w:spacing w:val="0"/>
          <w:sz w:val="36"/>
          <w:szCs w:val="36"/>
        </w:rPr>
      </w:pPr>
      <w:bookmarkStart w:id="0" w:name="_GoBack"/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 w:themeColor="text1"/>
          <w:spacing w:val="0"/>
          <w:sz w:val="36"/>
          <w:szCs w:val="36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福尔马林灭菌器的使用方法与注意事项</w:t>
      </w:r>
      <w:bookmarkEnd w:id="0"/>
    </w:p>
    <w:p w14:paraId="43B41A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一、使用方法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02F28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‌1、前期准备‌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846D8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‌密闭性检查‌：确保消毒空间(如实验室、生物安全柜)完全密闭，防止蒸汽泄漏。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6EE88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‌试剂配置‌：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E4A0F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‌福尔马林‌：按空间体积计算用量，常用浓度为30-40ml/m³。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CCA66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‌中和剂‌：配套使用氨水(15-20g/m³)或高锰酸钾(与福尔马林按1:2比例混合)加速汽化。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7C51D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‌熏蒸灭菌‌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8CB24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‌设备启动‌：通过控制系统(全自动/手动)触发福尔马林蒸发，利用加热或化学反应释放甲醛气体。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45FC7F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‌环境调控‌：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A023F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温度≥18℃，湿度60%-90%以增强杀菌效果。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A69A3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密闭空间维持6-24小时(根据消毒需求调整)。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D3FA9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‌2、中和与通风‌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A8793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‌中和残留‌：灭菌完成后释放氨水蒸汽中和甲醛，消除毒性残留。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AC812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‌强制排风‌：使用通风系统彻底排出气体，完成后检测甲醛浓度≤0.5ppm方可进入。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EC8B7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二、注意事项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D3152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‌1、安全防护‌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33C99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操作人员需穿戴防护服、护目镜、防毒面具及耐腐蚀手套，避免直接接触甲醛蒸汽。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412D6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消毒期间人员需撤离现场，设备需配备泄漏报警系统。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51778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‌2、设备维护‌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73D15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定期检查不锈钢材质(SUS304)外壳的密封性及耐腐蚀性。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C7620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清洁福尔马林和氨水容器，防止残留物堵塞管道。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D9FC7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‌3、环境与操作限制‌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CEC47D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禁止在非密闭或通风不良区域使用，避免甲醛浓度超标。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AAF9E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消毒空间内需移除易燃易爆物品，防止化学反应引发危险。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4F7D7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‌4、合规性要求‌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B9A77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遵循GMP认证标准，记录消毒参数(时间、温湿度、浓度)并保存数据备查。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A7F82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使用后需通过第三方检测验证灭菌效果，确保生物安全性。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4E777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三、扩展应用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444EA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‌1、适用场景‌：生物安全实验室、医院病房、制药车间等对洁净度要求高的场所。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7277E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‌2、设备升级‌：2025年新型号(如FA-270YL)支持2500立方米大空间消毒，兼容远程控制。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BF332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通过规范操作与严格防护，福尔马林灭菌器可高效保障生物安全，降低交叉污染风险。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4B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2026-03-16T09:21:23Z</dcterms:created>
  <dc:creator>Mt</dc:creator>
  <cp:lastModifiedBy>制药网阳阳</cp:lastModifiedBy>
  <dcterms:modified xsi:type="dcterms:W3CDTF">2026-03-16T09:21:43Z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81024E8C84A44640AA7BED0E1F30E93A_12</vt:lpwstr>
  </property>
</Properties>
</file>